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318" w:rsidRDefault="005C431A">
      <w:pPr>
        <w:spacing w:after="9" w:line="259" w:lineRule="auto"/>
        <w:ind w:left="1195" w:right="0" w:firstLine="0"/>
        <w:jc w:val="center"/>
      </w:pPr>
      <w:r>
        <w:rPr>
          <w:b/>
          <w:sz w:val="32"/>
        </w:rPr>
        <w:t xml:space="preserve"> </w:t>
      </w:r>
    </w:p>
    <w:p w:rsidR="00416318" w:rsidRDefault="005C431A" w:rsidP="005C431A">
      <w:pPr>
        <w:tabs>
          <w:tab w:val="center" w:pos="2362"/>
          <w:tab w:val="center" w:pos="586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416318" w:rsidRDefault="005C431A">
      <w:pPr>
        <w:pStyle w:val="Titolo1"/>
        <w:spacing w:after="114"/>
        <w:ind w:left="-5" w:right="0"/>
        <w:jc w:val="left"/>
      </w:pPr>
      <w:r>
        <w:t xml:space="preserve">Visti </w:t>
      </w:r>
    </w:p>
    <w:p w:rsidR="00416318" w:rsidRDefault="005C431A">
      <w:pPr>
        <w:numPr>
          <w:ilvl w:val="0"/>
          <w:numId w:val="1"/>
        </w:numPr>
        <w:ind w:right="0" w:hanging="360"/>
      </w:pPr>
      <w:r>
        <w:t xml:space="preserve">L’art. 174 del D. </w:t>
      </w:r>
      <w:proofErr w:type="spellStart"/>
      <w:r>
        <w:t>Lgs</w:t>
      </w:r>
      <w:proofErr w:type="spellEnd"/>
      <w:r>
        <w:t xml:space="preserve">. 18 agosto 2000, n. 267 che attribuisce alla Giunta comunale il compito </w:t>
      </w:r>
      <w:proofErr w:type="gramStart"/>
      <w:r>
        <w:t>di  presentare</w:t>
      </w:r>
      <w:proofErr w:type="gramEnd"/>
      <w:r>
        <w:t xml:space="preserve"> all’organo consiliare lo schema di bilancio di previsione, i relativi allegati e il Documento Unico di Programmazione entro il 15 novembre di ogni anno, secondo quanto stabilito dal regolamento di contabilità; </w:t>
      </w:r>
    </w:p>
    <w:p w:rsidR="00416318" w:rsidRDefault="005C431A">
      <w:pPr>
        <w:numPr>
          <w:ilvl w:val="0"/>
          <w:numId w:val="1"/>
        </w:numPr>
        <w:ind w:right="0" w:hanging="360"/>
      </w:pPr>
      <w:r>
        <w:t xml:space="preserve">l’art. 151 del D. </w:t>
      </w:r>
      <w:proofErr w:type="spellStart"/>
      <w:r>
        <w:t>Lgs</w:t>
      </w:r>
      <w:proofErr w:type="spellEnd"/>
      <w:r>
        <w:t xml:space="preserve">. 18 agosto 2000 n. 267, che fissa al 31 dicembre il termine per l’approvazione, da parte del Consiglio, del bilancio di previsione e dei suoi allegati e che prevede che il termine possa essere differito con decreto del Ministro dell’Interno; </w:t>
      </w:r>
    </w:p>
    <w:p w:rsidR="00416318" w:rsidRDefault="005C431A">
      <w:pPr>
        <w:numPr>
          <w:ilvl w:val="0"/>
          <w:numId w:val="1"/>
        </w:numPr>
        <w:spacing w:after="185"/>
        <w:ind w:right="0" w:hanging="360"/>
      </w:pPr>
      <w:proofErr w:type="gramStart"/>
      <w:r>
        <w:t>il</w:t>
      </w:r>
      <w:proofErr w:type="gramEnd"/>
      <w:r>
        <w:t xml:space="preserve"> Decreto del Ministero dell’Interno  del </w:t>
      </w:r>
      <w:r w:rsidR="00370F71">
        <w:t>25/1/2019</w:t>
      </w:r>
      <w:r>
        <w:t xml:space="preserve">,  che prevede il rinvio al </w:t>
      </w:r>
      <w:r w:rsidR="00370F71">
        <w:t>31</w:t>
      </w:r>
      <w:r>
        <w:t xml:space="preserve"> </w:t>
      </w:r>
      <w:r w:rsidR="00370F71">
        <w:t>marzo</w:t>
      </w:r>
      <w:r>
        <w:t xml:space="preserve"> 201</w:t>
      </w:r>
      <w:r w:rsidR="00370F71">
        <w:t>9</w:t>
      </w:r>
      <w:r>
        <w:t xml:space="preserve"> del termine per l’approvazione del bilancio di previsione 2018-2020 da parte degli Enti locali; </w:t>
      </w:r>
    </w:p>
    <w:p w:rsidR="00416318" w:rsidRDefault="005C431A">
      <w:pPr>
        <w:numPr>
          <w:ilvl w:val="0"/>
          <w:numId w:val="1"/>
        </w:numPr>
        <w:ind w:right="0" w:hanging="360"/>
      </w:pPr>
      <w:proofErr w:type="gramStart"/>
      <w:r>
        <w:t>il</w:t>
      </w:r>
      <w:proofErr w:type="gramEnd"/>
      <w:r>
        <w:t xml:space="preserve"> Decreto Legislativo 18 agosto 2000 n. 267, che fissa i principi dell’ordinamento istituzionale, finanziario e contabile degli Enti locali; </w:t>
      </w:r>
    </w:p>
    <w:p w:rsidR="00416318" w:rsidRDefault="005C431A">
      <w:pPr>
        <w:numPr>
          <w:ilvl w:val="0"/>
          <w:numId w:val="1"/>
        </w:numPr>
        <w:spacing w:after="281"/>
        <w:ind w:right="0" w:hanging="360"/>
      </w:pPr>
      <w:proofErr w:type="gramStart"/>
      <w:r>
        <w:t>il</w:t>
      </w:r>
      <w:proofErr w:type="gramEnd"/>
      <w:r>
        <w:t xml:space="preserve"> Decreto Legislativo n. 118/2011 “Disposizioni in materia di armonizzazione dei sistemi contabili e degli schemi di bilancio delle Regioni, degli Enti locali e dei loro organismi”, così come integrato dal Decreto Legislativo n. 126/2014; </w:t>
      </w:r>
    </w:p>
    <w:p w:rsidR="00416318" w:rsidRDefault="005C431A">
      <w:pPr>
        <w:spacing w:after="358" w:line="358" w:lineRule="auto"/>
        <w:ind w:left="0" w:right="0" w:firstLine="0"/>
      </w:pPr>
      <w:r>
        <w:rPr>
          <w:b/>
        </w:rPr>
        <w:t xml:space="preserve">Vista </w:t>
      </w:r>
      <w:r>
        <w:t>la deliberazione della Giunta comunale n. 2</w:t>
      </w:r>
      <w:r w:rsidR="00F835F3">
        <w:t>3</w:t>
      </w:r>
      <w:r>
        <w:t xml:space="preserve"> del 0</w:t>
      </w:r>
      <w:r w:rsidR="00F835F3">
        <w:t>5</w:t>
      </w:r>
      <w:r>
        <w:t>/02/2019 con la quale è stato</w:t>
      </w:r>
      <w:r w:rsidR="00F835F3">
        <w:t xml:space="preserve"> aggiornato il Documento Unico di Programmazione (DUP) semplificato ed è stato</w:t>
      </w:r>
      <w:r>
        <w:t xml:space="preserve"> approvato lo schema di Bilancio di previsione per gli esercizi 2019-202</w:t>
      </w:r>
      <w:r w:rsidR="00F835F3">
        <w:t>1;</w:t>
      </w:r>
      <w:r>
        <w:t xml:space="preserve"> </w:t>
      </w:r>
    </w:p>
    <w:p w:rsidR="00370F71" w:rsidRDefault="005C431A">
      <w:pPr>
        <w:spacing w:after="117" w:line="359" w:lineRule="auto"/>
        <w:ind w:left="0" w:right="0" w:firstLine="0"/>
      </w:pPr>
      <w:proofErr w:type="spellStart"/>
      <w:r>
        <w:rPr>
          <w:b/>
        </w:rPr>
        <w:t>Richamato</w:t>
      </w:r>
      <w:proofErr w:type="spellEnd"/>
      <w:r>
        <w:rPr>
          <w:b/>
        </w:rPr>
        <w:t xml:space="preserve"> </w:t>
      </w:r>
      <w:r>
        <w:t xml:space="preserve">l’articolo 1, commi 707-734, della già citata legge 28 dicembre 2015 n. </w:t>
      </w:r>
      <w:proofErr w:type="gramStart"/>
      <w:r>
        <w:t>208  e</w:t>
      </w:r>
      <w:proofErr w:type="gramEnd"/>
      <w:r>
        <w:t xml:space="preserve"> s. m. e integrazioni che hanno abrogato la normativa relativa al patto di stabilità interno, introducendo il nuovo saldo di competenza finale;</w:t>
      </w:r>
    </w:p>
    <w:p w:rsidR="00416318" w:rsidRDefault="005C431A">
      <w:pPr>
        <w:spacing w:after="117" w:line="359" w:lineRule="auto"/>
        <w:ind w:left="0" w:right="0" w:firstLine="0"/>
      </w:pPr>
      <w:r>
        <w:t xml:space="preserve"> </w:t>
      </w:r>
      <w:r>
        <w:rPr>
          <w:b/>
        </w:rPr>
        <w:t>Dato atto che</w:t>
      </w:r>
      <w:r>
        <w:t xml:space="preserve">: </w:t>
      </w:r>
    </w:p>
    <w:p w:rsidR="00416318" w:rsidRDefault="005C431A">
      <w:pPr>
        <w:spacing w:after="255"/>
        <w:ind w:left="0" w:right="0" w:firstLine="0"/>
      </w:pPr>
      <w:r>
        <w:t xml:space="preserve">Al Bilancio di previsione sono allegati: </w:t>
      </w:r>
    </w:p>
    <w:p w:rsidR="00416318" w:rsidRDefault="005C431A">
      <w:pPr>
        <w:numPr>
          <w:ilvl w:val="1"/>
          <w:numId w:val="2"/>
        </w:numPr>
        <w:spacing w:after="252"/>
        <w:ind w:right="0" w:hanging="360"/>
      </w:pPr>
      <w:r>
        <w:t xml:space="preserve">Il prospetto esplicativo del presunto risultato di amministrazione dell’esercizio precedente. </w:t>
      </w:r>
    </w:p>
    <w:p w:rsidR="00416318" w:rsidRDefault="005C431A">
      <w:pPr>
        <w:numPr>
          <w:ilvl w:val="1"/>
          <w:numId w:val="2"/>
        </w:numPr>
        <w:spacing w:after="6" w:line="358" w:lineRule="auto"/>
        <w:ind w:right="0" w:hanging="360"/>
      </w:pPr>
      <w:r>
        <w:t xml:space="preserve">Il prospetto </w:t>
      </w:r>
      <w:proofErr w:type="gramStart"/>
      <w:r>
        <w:t>contenente  la</w:t>
      </w:r>
      <w:proofErr w:type="gramEnd"/>
      <w:r>
        <w:t xml:space="preserve"> composizione, per missioni e programmi, del Fondo pluriennale vincolato. </w:t>
      </w:r>
    </w:p>
    <w:p w:rsidR="00416318" w:rsidRDefault="005C431A">
      <w:pPr>
        <w:numPr>
          <w:ilvl w:val="1"/>
          <w:numId w:val="2"/>
        </w:numPr>
        <w:spacing w:after="6" w:line="358" w:lineRule="auto"/>
        <w:ind w:right="0" w:hanging="360"/>
      </w:pPr>
      <w:r>
        <w:t xml:space="preserve">Il </w:t>
      </w:r>
      <w:proofErr w:type="gramStart"/>
      <w:r>
        <w:t>prospetto  concernente</w:t>
      </w:r>
      <w:proofErr w:type="gramEnd"/>
      <w:r>
        <w:t xml:space="preserve"> la composizione del Fondo crediti  di dubbia esigibilità per ciascuno degli esercizi  considerati nel Bilancio di previsione. </w:t>
      </w:r>
    </w:p>
    <w:p w:rsidR="00416318" w:rsidRDefault="005C431A">
      <w:pPr>
        <w:numPr>
          <w:ilvl w:val="1"/>
          <w:numId w:val="2"/>
        </w:numPr>
        <w:spacing w:after="134"/>
        <w:ind w:right="0" w:hanging="360"/>
      </w:pPr>
      <w:r>
        <w:t xml:space="preserve">Il prospetto esplicativo del rispetto dei vincoli di indebitamento. </w:t>
      </w:r>
    </w:p>
    <w:p w:rsidR="00416318" w:rsidRDefault="005C431A">
      <w:pPr>
        <w:numPr>
          <w:ilvl w:val="1"/>
          <w:numId w:val="2"/>
        </w:numPr>
        <w:spacing w:after="11" w:line="356" w:lineRule="auto"/>
        <w:ind w:right="0" w:hanging="360"/>
      </w:pPr>
      <w:r>
        <w:t xml:space="preserve">Il </w:t>
      </w:r>
      <w:proofErr w:type="gramStart"/>
      <w:r>
        <w:t>prospetto  delle</w:t>
      </w:r>
      <w:proofErr w:type="gramEnd"/>
      <w:r>
        <w:t xml:space="preserve"> spese previste  per l’utilizzo di contributi da parte degli organismi comunitari e internazionali  che nel caso del Comune è negativo. </w:t>
      </w:r>
    </w:p>
    <w:p w:rsidR="00416318" w:rsidRDefault="005C431A">
      <w:pPr>
        <w:numPr>
          <w:ilvl w:val="1"/>
          <w:numId w:val="2"/>
        </w:numPr>
        <w:spacing w:after="7" w:line="357" w:lineRule="auto"/>
        <w:ind w:right="0" w:hanging="360"/>
      </w:pPr>
      <w:proofErr w:type="gramStart"/>
      <w:r>
        <w:t>La  tabella</w:t>
      </w:r>
      <w:proofErr w:type="gramEnd"/>
      <w:r>
        <w:t xml:space="preserve"> relativa ai parametri di riscontro  della situazione di </w:t>
      </w:r>
      <w:proofErr w:type="spellStart"/>
      <w:r>
        <w:t>deficitarietà</w:t>
      </w:r>
      <w:proofErr w:type="spellEnd"/>
      <w:r>
        <w:t xml:space="preserve">  strutturale prevista  dalle disposizioni vigenti ( allegata al certificato al rendiconto 2017 ultimo approvato).  </w:t>
      </w:r>
    </w:p>
    <w:p w:rsidR="00416318" w:rsidRDefault="005C431A">
      <w:pPr>
        <w:numPr>
          <w:ilvl w:val="1"/>
          <w:numId w:val="2"/>
        </w:numPr>
        <w:spacing w:after="6" w:line="358" w:lineRule="auto"/>
        <w:ind w:right="0" w:hanging="360"/>
      </w:pPr>
      <w:r>
        <w:lastRenderedPageBreak/>
        <w:t xml:space="preserve">Il prospetto delle spese previste per lo svolgimento delle </w:t>
      </w:r>
      <w:proofErr w:type="gramStart"/>
      <w:r>
        <w:t>funzioni  delegate</w:t>
      </w:r>
      <w:proofErr w:type="gramEnd"/>
      <w:r>
        <w:t xml:space="preserve"> dalla Regione che nel caso del Comune è negativo. </w:t>
      </w:r>
    </w:p>
    <w:p w:rsidR="00416318" w:rsidRDefault="005C431A">
      <w:pPr>
        <w:numPr>
          <w:ilvl w:val="1"/>
          <w:numId w:val="2"/>
        </w:numPr>
        <w:spacing w:after="6" w:line="358" w:lineRule="auto"/>
        <w:ind w:right="0" w:hanging="360"/>
      </w:pPr>
      <w:r>
        <w:t xml:space="preserve">L’ultimo Rendiconto di gestione approvato (Rendiconto 2017) se non integralmente pubblicato sul Sito del Comune. </w:t>
      </w:r>
    </w:p>
    <w:p w:rsidR="00416318" w:rsidRDefault="005C431A">
      <w:pPr>
        <w:numPr>
          <w:ilvl w:val="1"/>
          <w:numId w:val="2"/>
        </w:numPr>
        <w:spacing w:after="134"/>
        <w:ind w:right="0" w:hanging="360"/>
      </w:pPr>
      <w:r>
        <w:t xml:space="preserve">Piano degli indicatori di bilancio per il triennio 2019-2021. </w:t>
      </w:r>
    </w:p>
    <w:p w:rsidR="00416318" w:rsidRDefault="005C431A">
      <w:pPr>
        <w:numPr>
          <w:ilvl w:val="1"/>
          <w:numId w:val="2"/>
        </w:numPr>
        <w:spacing w:after="9" w:line="356" w:lineRule="auto"/>
        <w:ind w:right="0" w:hanging="360"/>
      </w:pPr>
      <w:r>
        <w:t xml:space="preserve">Le deliberazioni di approvazione delle aliquote, imposte, tasse, </w:t>
      </w:r>
      <w:proofErr w:type="gramStart"/>
      <w:r>
        <w:t>tariffe  vigenti</w:t>
      </w:r>
      <w:proofErr w:type="gramEnd"/>
      <w:r>
        <w:t xml:space="preserve"> per gli esercizi considerati nel Bilancio di previsione. </w:t>
      </w:r>
    </w:p>
    <w:p w:rsidR="00166124" w:rsidRDefault="00166124">
      <w:pPr>
        <w:numPr>
          <w:ilvl w:val="1"/>
          <w:numId w:val="2"/>
        </w:numPr>
        <w:spacing w:after="9" w:line="356" w:lineRule="auto"/>
        <w:ind w:right="0" w:hanging="360"/>
      </w:pPr>
      <w:r>
        <w:t>Il Documento Unico di Programmazione (D.U.P.) semplificato per il triennio 2019-2021</w:t>
      </w:r>
    </w:p>
    <w:p w:rsidR="00416318" w:rsidRDefault="005C431A">
      <w:pPr>
        <w:pStyle w:val="Titolo1"/>
        <w:spacing w:after="114"/>
        <w:ind w:left="-5" w:right="0"/>
        <w:jc w:val="left"/>
      </w:pPr>
      <w:r>
        <w:t>Considerato che</w:t>
      </w:r>
      <w:r>
        <w:rPr>
          <w:b w:val="0"/>
        </w:rPr>
        <w:t xml:space="preserve">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</w:t>
      </w:r>
      <w:r w:rsidR="00EB66AB">
        <w:t>in data odierna</w:t>
      </w:r>
      <w:r>
        <w:t xml:space="preserve">  è stato approvato il Piano finanziario della Tari 2019; </w:t>
      </w:r>
    </w:p>
    <w:p w:rsidR="00EB66AB" w:rsidRDefault="00EB66AB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sono state approvate le tariffe Tari 2019;</w:t>
      </w:r>
    </w:p>
    <w:p w:rsidR="003F291E" w:rsidRDefault="00E55064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</w:t>
      </w:r>
      <w:r w:rsidR="003F291E">
        <w:t xml:space="preserve"> sono state confermate le aliquote Tasi per l’anno 2019;</w:t>
      </w:r>
    </w:p>
    <w:p w:rsidR="003F291E" w:rsidRDefault="003F291E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sono state confermate le aliquote </w:t>
      </w:r>
      <w:proofErr w:type="spellStart"/>
      <w:r>
        <w:t>Imu</w:t>
      </w:r>
      <w:proofErr w:type="spellEnd"/>
      <w:r>
        <w:t xml:space="preserve"> per l’anno 2019:</w:t>
      </w:r>
    </w:p>
    <w:p w:rsidR="003F291E" w:rsidRDefault="003F291E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è stata confermata l’aliquota dell’addizionale comunale Irpef per l’anno 2019;</w:t>
      </w:r>
    </w:p>
    <w:p w:rsidR="00166124" w:rsidRDefault="00166124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è stato approvato il piano delle alienazioni e delle valorizzazioni immobiliari</w:t>
      </w:r>
      <w:r w:rsidR="000E566D">
        <w:t xml:space="preserve"> per l’anno 2019</w:t>
      </w:r>
      <w:r>
        <w:t>;</w:t>
      </w:r>
    </w:p>
    <w:p w:rsidR="00166124" w:rsidRDefault="00166124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è stata determinata la percentuale di oneri di urbanizzazione secondaria da destinarsi ad interventi relativi agli edifici di culto</w:t>
      </w:r>
      <w:r w:rsidR="000E566D">
        <w:t xml:space="preserve"> per l’anno 2019</w:t>
      </w:r>
      <w:r>
        <w:t>;</w:t>
      </w:r>
    </w:p>
    <w:p w:rsidR="00166124" w:rsidRDefault="00166124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in data odierna si  è proceduto alla verifica della quantità</w:t>
      </w:r>
      <w:r w:rsidR="00A50507">
        <w:t xml:space="preserve"> </w:t>
      </w:r>
      <w:r>
        <w:t>e qualità e determinazione prezzi delle aree da destinare</w:t>
      </w:r>
      <w:r w:rsidR="00A30860">
        <w:t xml:space="preserve"> alla residenza e alle attività produttive e terziarie da concedersi in diritto di superficie o da cedersi </w:t>
      </w:r>
      <w:r w:rsidR="000E566D">
        <w:t>in proprietà per l’anno 2019;</w:t>
      </w:r>
    </w:p>
    <w:p w:rsidR="000E566D" w:rsidRDefault="00A50507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n. 56/GC del 24/10/2018, inviata ai consiglieri comunali tramite i capigruppo con </w:t>
      </w:r>
      <w:proofErr w:type="spellStart"/>
      <w:r>
        <w:t>prot</w:t>
      </w:r>
      <w:proofErr w:type="spellEnd"/>
      <w:r>
        <w:t xml:space="preserve"> 3928 del 26/10/2018, è stato adottato il documento unico di programmazione (DUP) per il triennio 2019-2021;</w:t>
      </w:r>
    </w:p>
    <w:p w:rsidR="00416318" w:rsidRDefault="005C431A" w:rsidP="00655739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</w:t>
      </w:r>
      <w:r w:rsidR="00215226">
        <w:t>23</w:t>
      </w:r>
      <w:r>
        <w:t xml:space="preserve">  in data 0</w:t>
      </w:r>
      <w:r w:rsidR="00215226">
        <w:t>5</w:t>
      </w:r>
      <w:r>
        <w:t>/0</w:t>
      </w:r>
      <w:r w:rsidR="00215226">
        <w:t>3</w:t>
      </w:r>
      <w:r>
        <w:t>/2019 è stata adottat</w:t>
      </w:r>
      <w:r w:rsidR="00215226">
        <w:t>o</w:t>
      </w:r>
      <w:r>
        <w:t xml:space="preserve"> ed approvat</w:t>
      </w:r>
      <w:r w:rsidR="00215226">
        <w:t>o</w:t>
      </w:r>
      <w:r>
        <w:t xml:space="preserve"> </w:t>
      </w:r>
      <w:r w:rsidR="00215226">
        <w:t>l’</w:t>
      </w:r>
      <w:r>
        <w:t xml:space="preserve"> aggiornamento del Documento Unico di Programmazione (DUP) per il triennio 2019-2021</w:t>
      </w:r>
      <w:r w:rsidR="00215226">
        <w:t xml:space="preserve"> e la relativa nota integrativa</w:t>
      </w:r>
      <w:r>
        <w:t xml:space="preserve">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 Consiglio comunale n. </w:t>
      </w:r>
      <w:r w:rsidR="00CB1FCF">
        <w:t>7</w:t>
      </w:r>
      <w:r>
        <w:t xml:space="preserve"> del  2</w:t>
      </w:r>
      <w:r w:rsidR="00CB1FCF">
        <w:t>6</w:t>
      </w:r>
      <w:r>
        <w:t xml:space="preserve">/04/2018   è stato approvato il Rendiconto della gestione all’esercizio finanziario 2017;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 n. </w:t>
      </w:r>
      <w:r w:rsidR="008113AD">
        <w:t xml:space="preserve">49 </w:t>
      </w:r>
      <w:r w:rsidR="00A50507">
        <w:t>del</w:t>
      </w:r>
      <w:r w:rsidR="008113AD">
        <w:t xml:space="preserve"> 21/9/2018, come modificata con delibera n. 11/GC del22/9/2019,  approvato il piano triennale del fabbisogno di personale 2019-2021 e le modifiche del piano occupazionale 2018-2019 con contestuale aggiornamento della dotazione organica;</w:t>
      </w:r>
      <w:r>
        <w:t xml:space="preserve">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G.C. </w:t>
      </w:r>
      <w:r w:rsidR="00FA36E8">
        <w:t>84</w:t>
      </w:r>
      <w:r>
        <w:t xml:space="preserve"> del 21/11/201</w:t>
      </w:r>
      <w:r w:rsidR="00FA36E8">
        <w:t>7</w:t>
      </w:r>
      <w:r>
        <w:t xml:space="preserve"> è stato approvato il Piano delle Azioni positive  - parità uomo donna  per il triennio 201</w:t>
      </w:r>
      <w:r w:rsidR="00FA36E8">
        <w:t>8</w:t>
      </w:r>
      <w:r>
        <w:t>-202</w:t>
      </w:r>
      <w:r w:rsidR="00FA36E8">
        <w:t>0</w:t>
      </w:r>
      <w:r>
        <w:t xml:space="preserve">; </w:t>
      </w:r>
    </w:p>
    <w:p w:rsidR="00CB1FCF" w:rsidRDefault="00CB1FCF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Giunta comunale n. 60 del 28/11/2018 è stata adottata la variazione al programma triennale delle opere pubbliche 2019-2021;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lastRenderedPageBreak/>
        <w:t>con</w:t>
      </w:r>
      <w:proofErr w:type="gramEnd"/>
      <w:r>
        <w:t xml:space="preserve"> deliberazione della G.C. n 1</w:t>
      </w:r>
      <w:r w:rsidR="00CB1FCF">
        <w:t>9</w:t>
      </w:r>
      <w:r>
        <w:t xml:space="preserve"> in data </w:t>
      </w:r>
      <w:r w:rsidR="00CB1FCF">
        <w:t>05</w:t>
      </w:r>
      <w:r>
        <w:t>/</w:t>
      </w:r>
      <w:r w:rsidR="00CB1FCF">
        <w:t>3</w:t>
      </w:r>
      <w:r>
        <w:t>/201</w:t>
      </w:r>
      <w:r w:rsidR="00CB1FCF">
        <w:t>9</w:t>
      </w:r>
      <w:r>
        <w:t xml:space="preserve">  sono state confermate le vigenti tariffe  relative alla Tassa Occupazione Suolo Pubblico, della  pubblicità e  dei diritti sulle pubbliche affissioni; </w:t>
      </w:r>
    </w:p>
    <w:p w:rsidR="00CB1FCF" w:rsidRDefault="00CB1FCF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</w:t>
      </w:r>
      <w:r w:rsidR="008E3260">
        <w:t xml:space="preserve"> della G.C. n. 20 del 05/03/2019 sono state confermate le tariffe dell’imposta comunale  sulla pubblicità e del diritto sulle </w:t>
      </w:r>
      <w:proofErr w:type="spellStart"/>
      <w:r w:rsidR="008E3260">
        <w:t>pubblche</w:t>
      </w:r>
      <w:proofErr w:type="spellEnd"/>
      <w:r w:rsidR="008E3260">
        <w:t xml:space="preserve"> affissioni;</w:t>
      </w:r>
    </w:p>
    <w:p w:rsidR="008E3260" w:rsidRDefault="008E3260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21 del 05/03/2019 sono state adottate/confermate le tariffe relative a: diritti di segreteria su atti di edilizia/attività </w:t>
      </w:r>
      <w:proofErr w:type="spellStart"/>
      <w:r>
        <w:t>pproduttive</w:t>
      </w:r>
      <w:proofErr w:type="spellEnd"/>
      <w:r>
        <w:t xml:space="preserve">, concessioni cimiteriali, servizi cimiteriali, scuolabus, mensa scolastica, utilizzo palestra, </w:t>
      </w:r>
      <w:proofErr w:type="spellStart"/>
      <w:r>
        <w:t>micronido</w:t>
      </w:r>
      <w:proofErr w:type="spellEnd"/>
      <w:r>
        <w:t xml:space="preserve"> comunale, peso pubblico comunale, celebrazione matrimoni civili, rimborsi diversi, diritti carte identità;</w:t>
      </w:r>
    </w:p>
    <w:p w:rsidR="008E3260" w:rsidRDefault="008E3260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22 del 05/03/2019sono stati confermati i valori di mercato delle aree edificabili ai fini dell’accertamento </w:t>
      </w:r>
      <w:proofErr w:type="spellStart"/>
      <w:r>
        <w:t>Imu</w:t>
      </w:r>
      <w:proofErr w:type="spellEnd"/>
      <w:r>
        <w:t xml:space="preserve"> e Tasi;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</w:t>
      </w:r>
      <w:r w:rsidR="002C25B9">
        <w:t>2</w:t>
      </w:r>
      <w:r>
        <w:t xml:space="preserve">     del  1</w:t>
      </w:r>
      <w:r w:rsidR="002C25B9">
        <w:t>5</w:t>
      </w:r>
      <w:r>
        <w:t xml:space="preserve">.01.2019     è stato approvato l’adeguamento del costo di costruzione  per edifici residenziali;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 n. 1</w:t>
      </w:r>
      <w:r w:rsidR="002C25B9">
        <w:t>7</w:t>
      </w:r>
      <w:r>
        <w:t xml:space="preserve"> del </w:t>
      </w:r>
      <w:r w:rsidR="002C25B9">
        <w:t>05/03</w:t>
      </w:r>
      <w:r>
        <w:t xml:space="preserve">/2019     è stato adottato il Piano triennale di razionalizzazione  delle spese di funzionamento 2019-2021;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</w:t>
      </w:r>
      <w:r w:rsidR="002C25B9">
        <w:t xml:space="preserve"> della G.C. </w:t>
      </w:r>
      <w:r>
        <w:t>n. 1</w:t>
      </w:r>
      <w:r w:rsidR="002C25B9">
        <w:t>0</w:t>
      </w:r>
      <w:r>
        <w:t xml:space="preserve"> del </w:t>
      </w:r>
      <w:r w:rsidR="002C25B9">
        <w:t>13</w:t>
      </w:r>
      <w:r>
        <w:t>/0</w:t>
      </w:r>
      <w:r w:rsidR="002C25B9">
        <w:t>2</w:t>
      </w:r>
      <w:r>
        <w:t xml:space="preserve">/2019 è stata effettuata la ricognizione  del soprannumero o delle eccedenze del  personale dipendente anno 2019;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 n. 23 in data 06/02/2019 sono stati confermati i valori di mercato delle aree edificabili ai fini degli accertamenti Tasi e </w:t>
      </w:r>
      <w:proofErr w:type="spellStart"/>
      <w:r>
        <w:t>Imu</w:t>
      </w:r>
      <w:proofErr w:type="spellEnd"/>
      <w:r>
        <w:t xml:space="preserve">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</w:t>
      </w:r>
      <w:r w:rsidR="002C25B9">
        <w:t>18</w:t>
      </w:r>
      <w:r>
        <w:t xml:space="preserve">  in data 0</w:t>
      </w:r>
      <w:r w:rsidR="002C25B9">
        <w:t>5</w:t>
      </w:r>
      <w:r>
        <w:t>/0</w:t>
      </w:r>
      <w:r w:rsidR="002C25B9">
        <w:t>3</w:t>
      </w:r>
      <w:r>
        <w:t xml:space="preserve">/2019 è stata destinata la quota dei proventi derivanti dalle sanzioni amministrative pecuniarie per violazioni al Codice della Strada, come previsto dall’art. 208, comma 4 del D. </w:t>
      </w:r>
      <w:proofErr w:type="spellStart"/>
      <w:r>
        <w:t>Lgs</w:t>
      </w:r>
      <w:proofErr w:type="spellEnd"/>
      <w:r>
        <w:t xml:space="preserve">. 285/92;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con</w:t>
      </w:r>
      <w:proofErr w:type="gramEnd"/>
      <w:r>
        <w:t xml:space="preserve"> deliberazione della G.C. n. 25  del 06/02/2019 è stata adottata la nota di aggiornamento al </w:t>
      </w:r>
      <w:proofErr w:type="spellStart"/>
      <w:r>
        <w:t>Dup</w:t>
      </w:r>
      <w:proofErr w:type="spellEnd"/>
      <w:r>
        <w:t xml:space="preserve"> 2018/2020; </w:t>
      </w:r>
    </w:p>
    <w:p w:rsidR="00416318" w:rsidRDefault="005C431A">
      <w:pPr>
        <w:ind w:left="927" w:right="0" w:firstLine="0"/>
      </w:pPr>
      <w:r>
        <w:t xml:space="preserve">  </w:t>
      </w:r>
    </w:p>
    <w:p w:rsidR="00416318" w:rsidRDefault="005C431A">
      <w:pPr>
        <w:spacing w:after="36" w:line="259" w:lineRule="auto"/>
        <w:ind w:left="569" w:right="0" w:firstLine="0"/>
        <w:jc w:val="left"/>
      </w:pPr>
      <w:r>
        <w:t xml:space="preserve">  </w:t>
      </w:r>
    </w:p>
    <w:p w:rsidR="00416318" w:rsidRDefault="005C431A">
      <w:pPr>
        <w:spacing w:after="114" w:line="259" w:lineRule="auto"/>
        <w:ind w:left="-5" w:right="0" w:hanging="10"/>
        <w:jc w:val="left"/>
      </w:pPr>
      <w:r>
        <w:rPr>
          <w:b/>
        </w:rPr>
        <w:t xml:space="preserve">Dato atto inoltre che:  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le</w:t>
      </w:r>
      <w:proofErr w:type="gramEnd"/>
      <w:r>
        <w:t xml:space="preserve"> previsioni di Bilancio sono coerenti con le disposizioni di cui al Decreto legge n. 78/2010 convertito con Legge 122/2010 per quanto riguarda la riduzione dei costi degli apparati amministrativi e le riduzioni di spesa ivi previste; 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ai</w:t>
      </w:r>
      <w:proofErr w:type="gramEnd"/>
      <w:r>
        <w:t xml:space="preserve"> sensi dell’art. 3 comma 56 della L. n. 244/2007, così come modificato dall’art. 46, comma 3, del D.L. 112/2008, il limite massimo della spesa annua 2019 per incarichi di collaborazione e consulenze è fissato in € 139,70; 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i</w:t>
      </w:r>
      <w:proofErr w:type="gramEnd"/>
      <w:r>
        <w:t xml:space="preserve"> documenti di programmazione dell’Ente sono stati redatti in conformità ai principi contenuti negli art. 4 e 5 del D. </w:t>
      </w:r>
      <w:proofErr w:type="spellStart"/>
      <w:r>
        <w:t>Lgs</w:t>
      </w:r>
      <w:proofErr w:type="spellEnd"/>
      <w:r>
        <w:t xml:space="preserve">. n. 150/2009 e sono coerenti con le fasi del ciclo di gestione della performance;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lo</w:t>
      </w:r>
      <w:proofErr w:type="gramEnd"/>
      <w:r>
        <w:t xml:space="preserve"> schema di Bilancio di previsione 2019-2021 è stato inviato al Revisore Unico dei conti per il parere di competenza; </w:t>
      </w:r>
    </w:p>
    <w:p w:rsidR="00416318" w:rsidRDefault="005C431A">
      <w:pPr>
        <w:numPr>
          <w:ilvl w:val="0"/>
          <w:numId w:val="3"/>
        </w:numPr>
        <w:ind w:right="0"/>
      </w:pPr>
      <w:proofErr w:type="gramStart"/>
      <w:r>
        <w:t>lo</w:t>
      </w:r>
      <w:proofErr w:type="gramEnd"/>
      <w:r>
        <w:t xml:space="preserve"> schema del Bilancio con nota  </w:t>
      </w:r>
      <w:proofErr w:type="spellStart"/>
      <w:r>
        <w:t>Prot</w:t>
      </w:r>
      <w:proofErr w:type="spellEnd"/>
      <w:r>
        <w:t xml:space="preserve">.  n. </w:t>
      </w:r>
      <w:proofErr w:type="gramStart"/>
      <w:r w:rsidR="00003121">
        <w:t>869</w:t>
      </w:r>
      <w:r>
        <w:t xml:space="preserve">  del</w:t>
      </w:r>
      <w:proofErr w:type="gramEnd"/>
      <w:r>
        <w:t xml:space="preserve">  0</w:t>
      </w:r>
      <w:r w:rsidR="00003121">
        <w:t>5</w:t>
      </w:r>
      <w:r>
        <w:t>/0</w:t>
      </w:r>
      <w:r w:rsidR="00003121">
        <w:t>3</w:t>
      </w:r>
      <w:r>
        <w:t xml:space="preserve">/2019   è stato inviato ai </w:t>
      </w:r>
    </w:p>
    <w:p w:rsidR="00416318" w:rsidRDefault="005C431A">
      <w:pPr>
        <w:ind w:left="927" w:right="0" w:firstLine="0"/>
      </w:pPr>
      <w:r>
        <w:t>Consiglieri e che entro il 1</w:t>
      </w:r>
      <w:r w:rsidR="00BA109D">
        <w:t>9</w:t>
      </w:r>
      <w:r>
        <w:t>/0</w:t>
      </w:r>
      <w:r w:rsidR="00BA109D">
        <w:t>3</w:t>
      </w:r>
      <w:r>
        <w:t xml:space="preserve">/2019 non son </w:t>
      </w:r>
      <w:proofErr w:type="gramStart"/>
      <w:r>
        <w:t>stati  presentati</w:t>
      </w:r>
      <w:proofErr w:type="gramEnd"/>
      <w:r>
        <w:t xml:space="preserve"> eventuali emendamenti; </w:t>
      </w:r>
    </w:p>
    <w:p w:rsidR="00416318" w:rsidRDefault="005C431A">
      <w:pPr>
        <w:spacing w:after="96" w:line="259" w:lineRule="auto"/>
        <w:ind w:left="0" w:right="0" w:firstLine="0"/>
        <w:jc w:val="left"/>
      </w:pPr>
      <w:r>
        <w:rPr>
          <w:b/>
        </w:rPr>
        <w:t xml:space="preserve"> </w:t>
      </w:r>
      <w:bookmarkStart w:id="0" w:name="_GoBack"/>
      <w:bookmarkEnd w:id="0"/>
    </w:p>
    <w:p w:rsidR="00416318" w:rsidRDefault="005C431A">
      <w:pPr>
        <w:pStyle w:val="Titolo1"/>
        <w:spacing w:after="114"/>
        <w:ind w:left="-5" w:right="0"/>
        <w:jc w:val="left"/>
      </w:pPr>
      <w:r>
        <w:t xml:space="preserve">Dato atto inoltre che </w:t>
      </w:r>
    </w:p>
    <w:p w:rsidR="00416318" w:rsidRDefault="005C431A">
      <w:pPr>
        <w:numPr>
          <w:ilvl w:val="0"/>
          <w:numId w:val="4"/>
        </w:numPr>
        <w:ind w:right="0" w:hanging="355"/>
      </w:pPr>
      <w:proofErr w:type="gramStart"/>
      <w:r>
        <w:t>le</w:t>
      </w:r>
      <w:proofErr w:type="gramEnd"/>
      <w:r>
        <w:t xml:space="preserve"> previsioni di Bilancio sono coerenti con le disposizioni di cui al Decreto legge n. 78/2010 convertito con Legge 122/2010 per quanto riguarda la riduzione dei costi degli apparati amministrativi e le riduzioni di spesa ivi previste;  </w:t>
      </w:r>
    </w:p>
    <w:p w:rsidR="00416318" w:rsidRDefault="005C431A">
      <w:pPr>
        <w:numPr>
          <w:ilvl w:val="0"/>
          <w:numId w:val="4"/>
        </w:numPr>
        <w:ind w:right="0" w:hanging="355"/>
      </w:pPr>
      <w:proofErr w:type="gramStart"/>
      <w:r>
        <w:lastRenderedPageBreak/>
        <w:t>i</w:t>
      </w:r>
      <w:proofErr w:type="gramEnd"/>
      <w:r>
        <w:t xml:space="preserve"> documenti di programmazione dell’Ente sono stati redatti in conformità ai principi contenuti negli art. 4 e 5 del D. </w:t>
      </w:r>
      <w:proofErr w:type="spellStart"/>
      <w:r>
        <w:t>Lgs</w:t>
      </w:r>
      <w:proofErr w:type="spellEnd"/>
      <w:r>
        <w:t xml:space="preserve">. n. 150/2009 e sono coerenti con le fasi del ciclo di gestione della performance; </w:t>
      </w:r>
    </w:p>
    <w:p w:rsidR="00416318" w:rsidRDefault="005C431A">
      <w:pPr>
        <w:numPr>
          <w:ilvl w:val="0"/>
          <w:numId w:val="4"/>
        </w:numPr>
        <w:ind w:right="0" w:hanging="355"/>
      </w:pPr>
      <w:proofErr w:type="gramStart"/>
      <w:r>
        <w:t>in</w:t>
      </w:r>
      <w:proofErr w:type="gramEnd"/>
      <w:r>
        <w:t xml:space="preserve"> data </w:t>
      </w:r>
      <w:r w:rsidR="00003121">
        <w:t>________</w:t>
      </w:r>
      <w:r>
        <w:t xml:space="preserve">  </w:t>
      </w:r>
      <w:proofErr w:type="spellStart"/>
      <w:r>
        <w:t>Prot</w:t>
      </w:r>
      <w:proofErr w:type="spellEnd"/>
      <w:r>
        <w:t xml:space="preserve">  n </w:t>
      </w:r>
      <w:r w:rsidR="00003121">
        <w:t>_____</w:t>
      </w:r>
      <w:r>
        <w:t xml:space="preserve"> il  Revisore dei Conti ha espresso parere favorevole sulla proposta di Bilancio di previsione 2019-2021 e relativi allegati, ai sensi dell’art 239 del Decreto Legislativo 18 agosto 2000, n. 267; </w:t>
      </w:r>
    </w:p>
    <w:p w:rsidR="00416318" w:rsidRDefault="005C431A">
      <w:pPr>
        <w:spacing w:after="91" w:line="259" w:lineRule="auto"/>
        <w:ind w:left="284" w:right="0" w:firstLine="0"/>
        <w:jc w:val="left"/>
      </w:pPr>
      <w:r>
        <w:rPr>
          <w:b/>
        </w:rPr>
        <w:t xml:space="preserve"> </w:t>
      </w:r>
    </w:p>
    <w:p w:rsidR="00416318" w:rsidRDefault="005C431A">
      <w:pPr>
        <w:ind w:left="0" w:right="0" w:firstLine="0"/>
      </w:pPr>
      <w:r>
        <w:t xml:space="preserve">Tutto quanto sopra premesso </w:t>
      </w:r>
      <w:r w:rsidR="004D504A">
        <w:t xml:space="preserve">si propone </w:t>
      </w:r>
      <w:proofErr w:type="spellStart"/>
      <w:r w:rsidR="004D504A">
        <w:t>affinchè</w:t>
      </w:r>
      <w:proofErr w:type="spellEnd"/>
      <w:r w:rsidR="004D504A">
        <w:t xml:space="preserve"> </w:t>
      </w:r>
      <w:r>
        <w:t xml:space="preserve">il Consiglio Comunale  </w:t>
      </w:r>
    </w:p>
    <w:p w:rsidR="005D3884" w:rsidRDefault="005D3884">
      <w:pPr>
        <w:ind w:left="0" w:right="0" w:firstLine="0"/>
      </w:pPr>
    </w:p>
    <w:p w:rsidR="004D504A" w:rsidRPr="005D3884" w:rsidRDefault="005C431A" w:rsidP="005D3884">
      <w:pPr>
        <w:spacing w:after="156" w:line="259" w:lineRule="auto"/>
        <w:ind w:left="0" w:right="0" w:firstLine="0"/>
        <w:jc w:val="left"/>
        <w:rPr>
          <w:b/>
        </w:rPr>
      </w:pPr>
      <w:r w:rsidRPr="005D3884">
        <w:rPr>
          <w:b/>
        </w:rPr>
        <w:t xml:space="preserve"> </w:t>
      </w:r>
      <w:r w:rsidR="005D3884" w:rsidRPr="005D3884">
        <w:rPr>
          <w:b/>
        </w:rPr>
        <w:t xml:space="preserve">                                                                 </w:t>
      </w:r>
      <w:r w:rsidRPr="005D3884">
        <w:rPr>
          <w:b/>
        </w:rPr>
        <w:t xml:space="preserve">D E L I B E R </w:t>
      </w:r>
      <w:r w:rsidR="004D504A" w:rsidRPr="005D3884">
        <w:rPr>
          <w:b/>
        </w:rPr>
        <w:t>I</w:t>
      </w:r>
      <w:r w:rsidRPr="005D3884">
        <w:rPr>
          <w:b/>
        </w:rPr>
        <w:t xml:space="preserve"> </w:t>
      </w:r>
    </w:p>
    <w:p w:rsidR="00416318" w:rsidRPr="004D504A" w:rsidRDefault="004D504A" w:rsidP="004D504A">
      <w:pPr>
        <w:pStyle w:val="Titolo1"/>
        <w:numPr>
          <w:ilvl w:val="0"/>
          <w:numId w:val="5"/>
        </w:numPr>
        <w:spacing w:after="216"/>
        <w:ind w:right="3"/>
        <w:rPr>
          <w:b w:val="0"/>
        </w:rPr>
      </w:pPr>
      <w:r>
        <w:t xml:space="preserve"> </w:t>
      </w:r>
      <w:proofErr w:type="gramStart"/>
      <w:r w:rsidRPr="004D504A">
        <w:rPr>
          <w:b w:val="0"/>
        </w:rPr>
        <w:t>di</w:t>
      </w:r>
      <w:proofErr w:type="gramEnd"/>
      <w:r w:rsidRPr="004D504A">
        <w:rPr>
          <w:b w:val="0"/>
        </w:rPr>
        <w:t xml:space="preserve"> richiamare la sopra estesa premessa a far parte integrante e sostanziale del presente provvedimento.</w:t>
      </w:r>
      <w:r w:rsidR="005C431A" w:rsidRPr="004D504A">
        <w:rPr>
          <w:b w:val="0"/>
        </w:rPr>
        <w:t xml:space="preserve"> </w:t>
      </w:r>
    </w:p>
    <w:p w:rsidR="00003121" w:rsidRDefault="00003121" w:rsidP="00003121">
      <w:pPr>
        <w:numPr>
          <w:ilvl w:val="0"/>
          <w:numId w:val="7"/>
        </w:numPr>
        <w:spacing w:after="160" w:line="252" w:lineRule="auto"/>
        <w:ind w:right="0"/>
      </w:pPr>
      <w:r>
        <w:t xml:space="preserve">Di approvare, in conformità alle modalità previste dal </w:t>
      </w:r>
      <w:proofErr w:type="spellStart"/>
      <w:r>
        <w:t>D.Lgs</w:t>
      </w:r>
      <w:proofErr w:type="spellEnd"/>
      <w:r>
        <w:t xml:space="preserve"> 118/2011, lo schema di bilancio di previsione 2019/2021, con le risultanze di cui ai prospetti entrate/spese che si allegano al presente atto deliberativo per farne parte integrante e sostanziale.</w:t>
      </w:r>
    </w:p>
    <w:p w:rsidR="00003121" w:rsidRDefault="00003121" w:rsidP="00003121">
      <w:pPr>
        <w:numPr>
          <w:ilvl w:val="0"/>
          <w:numId w:val="7"/>
        </w:numPr>
        <w:spacing w:after="160" w:line="254" w:lineRule="auto"/>
        <w:ind w:right="0"/>
      </w:pPr>
      <w:r>
        <w:t xml:space="preserve">Di approvare, altresì, gli allegati al bilancio di previsione 2019-2021, come previsti dall’art. 11 e dall’allegato 9 del </w:t>
      </w:r>
      <w:proofErr w:type="spellStart"/>
      <w:r>
        <w:t>D.Lgs</w:t>
      </w:r>
      <w:proofErr w:type="spellEnd"/>
      <w:r>
        <w:t xml:space="preserve"> 118/2011 e </w:t>
      </w:r>
      <w:proofErr w:type="spellStart"/>
      <w:r>
        <w:t>s.m.i.</w:t>
      </w:r>
      <w:proofErr w:type="spellEnd"/>
      <w:r>
        <w:t>, di seguito richiamati: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La tabella dimostrativa del risultato presunto d’amministrazione;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Il riepilogo generale delle spese per missioni;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Il prospetto concernente la composizione, per missioni e programmi, del fondo pluriennale per ciascuno degli esercizi considerati nel bilancio di previsione;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Il prospetto concernente la composizione del fondo crediti di dubbia esigibilità per ciascuno degli anni considerati nel bilancio di previsione;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Il prospetto dimostrativo del rispetto dei vincoli di indebitamento;</w:t>
      </w:r>
    </w:p>
    <w:p w:rsidR="00003121" w:rsidRDefault="00003121" w:rsidP="00003121">
      <w:pPr>
        <w:numPr>
          <w:ilvl w:val="0"/>
          <w:numId w:val="8"/>
        </w:numPr>
        <w:spacing w:after="160" w:line="254" w:lineRule="auto"/>
        <w:ind w:right="0"/>
      </w:pPr>
      <w:r>
        <w:t>Il prospetto dimostrativo degli equilibri di bilancio</w:t>
      </w:r>
    </w:p>
    <w:p w:rsidR="00003121" w:rsidRDefault="00003121" w:rsidP="00003121">
      <w:pPr>
        <w:ind w:left="720"/>
      </w:pPr>
      <w:proofErr w:type="gramStart"/>
      <w:r>
        <w:t>che</w:t>
      </w:r>
      <w:proofErr w:type="gramEnd"/>
      <w:r>
        <w:t xml:space="preserve"> parimenti si allegano quale parte integrante e sostanziale del presente atto</w:t>
      </w:r>
    </w:p>
    <w:p w:rsidR="00AB7D25" w:rsidRDefault="00AB7D25" w:rsidP="00AB7D25">
      <w:pPr>
        <w:numPr>
          <w:ilvl w:val="0"/>
          <w:numId w:val="7"/>
        </w:numPr>
        <w:spacing w:after="160" w:line="252" w:lineRule="auto"/>
        <w:ind w:right="0"/>
        <w:rPr>
          <w:color w:val="auto"/>
        </w:rPr>
      </w:pPr>
      <w:r>
        <w:t>Di approvare l’aggiornamento del Documento Unico di Programmazione 2019 – 2021 che si allega alla presente per farne parte integrante e sostanziale, contenente, quali suoi allegati, anche la nota integrativa e i modelli relativi al piano degli indicatori di bilancio.</w:t>
      </w:r>
    </w:p>
    <w:p w:rsidR="00416318" w:rsidRDefault="005C431A" w:rsidP="005D3884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416318" w:rsidRDefault="005C431A">
      <w:pPr>
        <w:pStyle w:val="Titolo1"/>
        <w:spacing w:after="238"/>
        <w:ind w:left="-5" w:right="0"/>
        <w:jc w:val="left"/>
      </w:pPr>
      <w:r>
        <w:t xml:space="preserve">Di approvare </w:t>
      </w:r>
      <w:proofErr w:type="spellStart"/>
      <w:r>
        <w:t>altresi’</w:t>
      </w:r>
      <w:proofErr w:type="spellEnd"/>
      <w:r>
        <w:t xml:space="preserve"> </w:t>
      </w:r>
    </w:p>
    <w:p w:rsidR="00416318" w:rsidRDefault="005C431A">
      <w:pPr>
        <w:numPr>
          <w:ilvl w:val="0"/>
          <w:numId w:val="6"/>
        </w:numPr>
        <w:spacing w:after="258"/>
        <w:ind w:right="0"/>
      </w:pPr>
      <w:proofErr w:type="gramStart"/>
      <w:r>
        <w:t>le</w:t>
      </w:r>
      <w:proofErr w:type="gramEnd"/>
      <w:r>
        <w:t xml:space="preserve"> deliberazioni con le quali sono determinate: le tariffe</w:t>
      </w:r>
      <w:r w:rsidR="00D506D4">
        <w:t xml:space="preserve"> e</w:t>
      </w:r>
      <w:r>
        <w:t xml:space="preserve"> le aliquote d'imposta</w:t>
      </w:r>
      <w:r w:rsidR="00D506D4">
        <w:t xml:space="preserve"> come in premessa specificate</w:t>
      </w:r>
      <w:r>
        <w:t xml:space="preserve"> ;  </w:t>
      </w:r>
    </w:p>
    <w:p w:rsidR="00416318" w:rsidRDefault="005C431A">
      <w:pPr>
        <w:numPr>
          <w:ilvl w:val="0"/>
          <w:numId w:val="6"/>
        </w:numPr>
        <w:spacing w:after="258"/>
        <w:ind w:right="0"/>
      </w:pPr>
      <w:proofErr w:type="gramStart"/>
      <w:r>
        <w:t>il</w:t>
      </w:r>
      <w:proofErr w:type="gramEnd"/>
      <w:r>
        <w:t xml:space="preserve"> prospetto della concordanza tra Bilancio di previsione e obiettivo programmatico del rispetto dei vincoli di finanza pubblica; </w:t>
      </w:r>
    </w:p>
    <w:p w:rsidR="00416318" w:rsidRDefault="005C431A">
      <w:pPr>
        <w:numPr>
          <w:ilvl w:val="0"/>
          <w:numId w:val="6"/>
        </w:numPr>
        <w:spacing w:after="258"/>
        <w:ind w:right="0"/>
      </w:pPr>
      <w:proofErr w:type="gramStart"/>
      <w:r>
        <w:t>la</w:t>
      </w:r>
      <w:proofErr w:type="gramEnd"/>
      <w:r>
        <w:t xml:space="preserve"> tabella relativa ai parametri di riscontro della situazione di </w:t>
      </w:r>
      <w:proofErr w:type="spellStart"/>
      <w:r>
        <w:t>deficitarietà</w:t>
      </w:r>
      <w:proofErr w:type="spellEnd"/>
      <w:r>
        <w:t xml:space="preserve"> strutturale prevista dalle disposizioni vigenti in materia ( rendiconto 2017 ultimo disponibile) </w:t>
      </w:r>
      <w:r>
        <w:rPr>
          <w:b/>
        </w:rPr>
        <w:t>;</w:t>
      </w:r>
      <w:r>
        <w:t xml:space="preserve"> </w:t>
      </w:r>
    </w:p>
    <w:p w:rsidR="00416318" w:rsidRDefault="005C431A">
      <w:pPr>
        <w:numPr>
          <w:ilvl w:val="0"/>
          <w:numId w:val="6"/>
        </w:numPr>
        <w:ind w:right="0"/>
      </w:pPr>
      <w:proofErr w:type="gramStart"/>
      <w:r>
        <w:t>il</w:t>
      </w:r>
      <w:proofErr w:type="gramEnd"/>
      <w:r>
        <w:t xml:space="preserve"> Programma triennale dei lavori pubblici, il programma biennale per l’acquisizione forniture e servizi anni  2019-2020 e  gli elenchi annuali adottati con deliberazione della Giunta </w:t>
      </w:r>
      <w:r>
        <w:lastRenderedPageBreak/>
        <w:t xml:space="preserve">comunale n.  156 del 12.12.2018 che sono stati previsti nel bilancio e negli atti di programmazione ad esso collegati; </w:t>
      </w:r>
    </w:p>
    <w:p w:rsidR="00416318" w:rsidRDefault="005C431A">
      <w:pPr>
        <w:numPr>
          <w:ilvl w:val="0"/>
          <w:numId w:val="6"/>
        </w:numPr>
        <w:ind w:right="0"/>
      </w:pPr>
      <w:proofErr w:type="gramStart"/>
      <w:r>
        <w:t>la</w:t>
      </w:r>
      <w:proofErr w:type="gramEnd"/>
      <w:r>
        <w:t xml:space="preserve"> dotazione organica, e la  programmazione del fabbisogno del personale  per il triennio 2019-2021 approvato con deliberazione  della G.C n. 130  del 31/10/2018 e  previsto nel bilancio e negli atti di programmazione ad esso collegati; </w:t>
      </w:r>
    </w:p>
    <w:p w:rsidR="00416318" w:rsidRDefault="005C431A">
      <w:pPr>
        <w:spacing w:after="9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416318" w:rsidRDefault="005C431A">
      <w:pPr>
        <w:spacing w:after="238" w:line="259" w:lineRule="auto"/>
        <w:ind w:left="-5" w:right="0" w:hanging="10"/>
        <w:jc w:val="left"/>
      </w:pPr>
      <w:r>
        <w:rPr>
          <w:b/>
        </w:rPr>
        <w:t xml:space="preserve">Di dare atto che: </w:t>
      </w:r>
    </w:p>
    <w:p w:rsidR="00416318" w:rsidRDefault="005C431A">
      <w:pPr>
        <w:numPr>
          <w:ilvl w:val="0"/>
          <w:numId w:val="6"/>
        </w:numPr>
        <w:spacing w:after="208"/>
        <w:ind w:right="0"/>
      </w:pPr>
      <w:proofErr w:type="gramStart"/>
      <w:r>
        <w:t>i</w:t>
      </w:r>
      <w:proofErr w:type="gramEnd"/>
      <w:r>
        <w:t xml:space="preserve"> quadri riassuntivi e i risultati differenziali sono parte integrante del Bilancio; </w:t>
      </w:r>
    </w:p>
    <w:p w:rsidR="00416318" w:rsidRDefault="005C431A">
      <w:pPr>
        <w:numPr>
          <w:ilvl w:val="0"/>
          <w:numId w:val="6"/>
        </w:numPr>
        <w:spacing w:after="258"/>
        <w:ind w:right="0"/>
      </w:pPr>
      <w:proofErr w:type="gramStart"/>
      <w:r>
        <w:t>il</w:t>
      </w:r>
      <w:proofErr w:type="gramEnd"/>
      <w:r>
        <w:t xml:space="preserve"> Bilancio chiude in pareggio finanziario complessivo (art. 162 del D. </w:t>
      </w:r>
      <w:proofErr w:type="spellStart"/>
      <w:r>
        <w:t>Lgs</w:t>
      </w:r>
      <w:proofErr w:type="spellEnd"/>
      <w:r>
        <w:t xml:space="preserve">. n.267/2000); </w:t>
      </w:r>
    </w:p>
    <w:p w:rsidR="00416318" w:rsidRDefault="005C431A">
      <w:pPr>
        <w:numPr>
          <w:ilvl w:val="0"/>
          <w:numId w:val="6"/>
        </w:numPr>
        <w:spacing w:after="258"/>
        <w:ind w:right="0"/>
      </w:pPr>
      <w:proofErr w:type="gramStart"/>
      <w:r>
        <w:t>il</w:t>
      </w:r>
      <w:proofErr w:type="gramEnd"/>
      <w:r>
        <w:t xml:space="preserve"> Bilancio di previsione è accompagnato dagli allegati previsti dall’articolo 11, comma 3 del Decreto legislativo n. 118/2011; </w:t>
      </w:r>
    </w:p>
    <w:p w:rsidR="00416318" w:rsidRDefault="005C431A">
      <w:pPr>
        <w:numPr>
          <w:ilvl w:val="0"/>
          <w:numId w:val="6"/>
        </w:numPr>
        <w:spacing w:after="230"/>
        <w:ind w:right="0"/>
      </w:pPr>
      <w:proofErr w:type="gramStart"/>
      <w:r>
        <w:t>nella</w:t>
      </w:r>
      <w:proofErr w:type="gramEnd"/>
      <w:r>
        <w:t xml:space="preserve"> redazione del Bilancio in approvazione, si è tenuto conto delle deliberazioni del Consiglio comunale assunte in materia di aliquote e tariffe, come richiamate in premessa; </w:t>
      </w:r>
    </w:p>
    <w:p w:rsidR="00416318" w:rsidRDefault="005C431A">
      <w:pPr>
        <w:spacing w:after="99" w:line="259" w:lineRule="auto"/>
        <w:ind w:left="713" w:right="0" w:firstLine="0"/>
        <w:jc w:val="left"/>
      </w:pPr>
      <w:r>
        <w:t xml:space="preserve"> </w:t>
      </w:r>
    </w:p>
    <w:p w:rsidR="00416318" w:rsidRDefault="005C431A">
      <w:pPr>
        <w:spacing w:after="0" w:line="359" w:lineRule="auto"/>
        <w:ind w:left="0" w:right="0" w:firstLine="0"/>
      </w:pPr>
      <w:r>
        <w:rPr>
          <w:b/>
        </w:rPr>
        <w:t xml:space="preserve">Di </w:t>
      </w:r>
      <w:proofErr w:type="gramStart"/>
      <w:r>
        <w:rPr>
          <w:b/>
        </w:rPr>
        <w:t>pubblicare</w:t>
      </w:r>
      <w:r>
        <w:t xml:space="preserve">  il</w:t>
      </w:r>
      <w:proofErr w:type="gramEnd"/>
      <w:r>
        <w:t xml:space="preserve"> Bilancio di previsione sul sito internet del comune – amministrazione trasparente, sezione bilanci;</w:t>
      </w:r>
      <w:r>
        <w:rPr>
          <w:sz w:val="20"/>
        </w:rPr>
        <w:t xml:space="preserve"> </w:t>
      </w:r>
    </w:p>
    <w:p w:rsidR="00416318" w:rsidRDefault="005C431A">
      <w:pPr>
        <w:spacing w:line="359" w:lineRule="auto"/>
        <w:ind w:left="0" w:right="0" w:firstLine="0"/>
      </w:pPr>
      <w:r>
        <w:rPr>
          <w:b/>
        </w:rPr>
        <w:t>Di trasmettere</w:t>
      </w:r>
      <w:r>
        <w:t xml:space="preserve"> il Bilancio di previsione alla Banca dati delle Amministrazioni Pubbliche entro e non oltre 30 giorni dalla data di approvazione;</w:t>
      </w:r>
      <w:r>
        <w:rPr>
          <w:sz w:val="20"/>
        </w:rPr>
        <w:t xml:space="preserve"> </w:t>
      </w:r>
    </w:p>
    <w:p w:rsidR="00416318" w:rsidRDefault="005C431A">
      <w:pPr>
        <w:spacing w:after="115"/>
        <w:ind w:left="0" w:right="0" w:firstLine="0"/>
      </w:pPr>
      <w:r>
        <w:rPr>
          <w:b/>
        </w:rPr>
        <w:t>Di rendere</w:t>
      </w:r>
      <w:r>
        <w:t xml:space="preserve"> la presente deliberazione immediatamente eseguibile, ai sensi dell’art. 134, comma quarto, del D. </w:t>
      </w:r>
      <w:proofErr w:type="spellStart"/>
      <w:r>
        <w:t>Lgs</w:t>
      </w:r>
      <w:proofErr w:type="spellEnd"/>
      <w:r>
        <w:t xml:space="preserve">. 18 agosto 2000, n. 267. </w:t>
      </w:r>
    </w:p>
    <w:p w:rsidR="00416318" w:rsidRDefault="005C431A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sectPr w:rsidR="00416318">
      <w:pgSz w:w="11906" w:h="16841"/>
      <w:pgMar w:top="801" w:right="1130" w:bottom="122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B4560"/>
    <w:multiLevelType w:val="hybridMultilevel"/>
    <w:tmpl w:val="5E6CB50C"/>
    <w:lvl w:ilvl="0" w:tplc="1F624BB0">
      <w:start w:val="1"/>
      <w:numFmt w:val="bullet"/>
      <w:lvlText w:val=""/>
      <w:lvlJc w:val="left"/>
      <w:pPr>
        <w:ind w:left="9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F2E520">
      <w:start w:val="1"/>
      <w:numFmt w:val="bullet"/>
      <w:lvlText w:val="o"/>
      <w:lvlJc w:val="left"/>
      <w:pPr>
        <w:ind w:left="1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6618DA">
      <w:start w:val="1"/>
      <w:numFmt w:val="bullet"/>
      <w:lvlText w:val="▪"/>
      <w:lvlJc w:val="left"/>
      <w:pPr>
        <w:ind w:left="2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DCAC">
      <w:start w:val="1"/>
      <w:numFmt w:val="bullet"/>
      <w:lvlText w:val="•"/>
      <w:lvlJc w:val="left"/>
      <w:pPr>
        <w:ind w:left="2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7E304E">
      <w:start w:val="1"/>
      <w:numFmt w:val="bullet"/>
      <w:lvlText w:val="o"/>
      <w:lvlJc w:val="left"/>
      <w:pPr>
        <w:ind w:left="3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109552">
      <w:start w:val="1"/>
      <w:numFmt w:val="bullet"/>
      <w:lvlText w:val="▪"/>
      <w:lvlJc w:val="left"/>
      <w:pPr>
        <w:ind w:left="4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0F54E">
      <w:start w:val="1"/>
      <w:numFmt w:val="bullet"/>
      <w:lvlText w:val="•"/>
      <w:lvlJc w:val="left"/>
      <w:pPr>
        <w:ind w:left="4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7A1B8C">
      <w:start w:val="1"/>
      <w:numFmt w:val="bullet"/>
      <w:lvlText w:val="o"/>
      <w:lvlJc w:val="left"/>
      <w:pPr>
        <w:ind w:left="5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7ABE0E">
      <w:start w:val="1"/>
      <w:numFmt w:val="bullet"/>
      <w:lvlText w:val="▪"/>
      <w:lvlJc w:val="left"/>
      <w:pPr>
        <w:ind w:left="6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927F4"/>
    <w:multiLevelType w:val="hybridMultilevel"/>
    <w:tmpl w:val="DA4E9536"/>
    <w:lvl w:ilvl="0" w:tplc="E82473C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5804C0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A02B8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664B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1C13B8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28976C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CF1AA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EC19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1C141C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BC079E"/>
    <w:multiLevelType w:val="hybridMultilevel"/>
    <w:tmpl w:val="B6882E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07329"/>
    <w:multiLevelType w:val="hybridMultilevel"/>
    <w:tmpl w:val="9F9483D8"/>
    <w:lvl w:ilvl="0" w:tplc="54A83CEC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183DDE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9A7C80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1A901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5E1706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0CD5FE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188AE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C47F14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2045C2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233F7B"/>
    <w:multiLevelType w:val="hybridMultilevel"/>
    <w:tmpl w:val="20663FF6"/>
    <w:lvl w:ilvl="0" w:tplc="F866F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07E27"/>
    <w:multiLevelType w:val="hybridMultilevel"/>
    <w:tmpl w:val="E7568660"/>
    <w:lvl w:ilvl="0" w:tplc="A6827240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12C69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5C3F9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AA6C1A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A15A6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9E4888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16DA70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EC7B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03FD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BD04E1"/>
    <w:multiLevelType w:val="hybridMultilevel"/>
    <w:tmpl w:val="7E9816F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85609"/>
    <w:multiLevelType w:val="hybridMultilevel"/>
    <w:tmpl w:val="D2E64BD4"/>
    <w:lvl w:ilvl="0" w:tplc="944E1A7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A57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0E8F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083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0235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6CE8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1E6C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4A17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0026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7AA7881"/>
    <w:multiLevelType w:val="hybridMultilevel"/>
    <w:tmpl w:val="9166A176"/>
    <w:lvl w:ilvl="0" w:tplc="B5BC7C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CE7574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41C3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01B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C18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6384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3800E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4CECB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EB0D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18"/>
    <w:rsid w:val="00003121"/>
    <w:rsid w:val="000E566D"/>
    <w:rsid w:val="00166124"/>
    <w:rsid w:val="002120E2"/>
    <w:rsid w:val="00215226"/>
    <w:rsid w:val="002C25B9"/>
    <w:rsid w:val="00370F71"/>
    <w:rsid w:val="003F291E"/>
    <w:rsid w:val="00416318"/>
    <w:rsid w:val="004D504A"/>
    <w:rsid w:val="005451E6"/>
    <w:rsid w:val="005C431A"/>
    <w:rsid w:val="005D3884"/>
    <w:rsid w:val="006B7D0C"/>
    <w:rsid w:val="008113AD"/>
    <w:rsid w:val="008E3260"/>
    <w:rsid w:val="009113E3"/>
    <w:rsid w:val="00A30860"/>
    <w:rsid w:val="00A50507"/>
    <w:rsid w:val="00AB7D25"/>
    <w:rsid w:val="00BA109D"/>
    <w:rsid w:val="00CB1FCF"/>
    <w:rsid w:val="00D506D4"/>
    <w:rsid w:val="00E55064"/>
    <w:rsid w:val="00EB66AB"/>
    <w:rsid w:val="00F835F3"/>
    <w:rsid w:val="00FA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C7569-1779-4F58-86C0-E4827F28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61" w:line="248" w:lineRule="auto"/>
      <w:ind w:left="365" w:right="2" w:hanging="36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3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04A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1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Erminio</dc:creator>
  <cp:keywords/>
  <cp:lastModifiedBy>Ragioneria</cp:lastModifiedBy>
  <cp:revision>13</cp:revision>
  <cp:lastPrinted>2019-03-20T14:07:00Z</cp:lastPrinted>
  <dcterms:created xsi:type="dcterms:W3CDTF">2019-03-19T07:58:00Z</dcterms:created>
  <dcterms:modified xsi:type="dcterms:W3CDTF">2019-03-20T14:15:00Z</dcterms:modified>
</cp:coreProperties>
</file>